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333333"/>
          <w:sz w:val="23"/>
          <w:szCs w:val="23"/>
          <w:highlight w:val="white"/>
        </w:rPr>
      </w:pPr>
      <w:r w:rsidDel="00000000" w:rsidR="00000000" w:rsidRPr="00000000">
        <w:rPr>
          <w:b w:val="1"/>
          <w:color w:val="333333"/>
          <w:sz w:val="23"/>
          <w:szCs w:val="23"/>
          <w:highlight w:val="white"/>
          <w:rtl w:val="0"/>
        </w:rPr>
        <w:t xml:space="preserve">6.1.1 - The institution has a clearly stated vision and mission which are reflected in its academic and administrative governance</w:t>
      </w:r>
    </w:p>
    <w:p w:rsidR="00000000" w:rsidDel="00000000" w:rsidP="00000000" w:rsidRDefault="00000000" w:rsidRPr="00000000" w14:paraId="00000002">
      <w:pPr>
        <w:spacing w:after="240" w:before="240" w:lineRule="auto"/>
        <w:rPr/>
      </w:pPr>
      <w:r w:rsidDel="00000000" w:rsidR="00000000" w:rsidRPr="00000000">
        <w:rPr>
          <w:rtl w:val="0"/>
        </w:rPr>
        <w:t xml:space="preserve">JUIT Waknaghat offers an insightful environment to its students to confer the inclination for well-established learning. Under and Post-graduate students are urged to develop opportunities in thought and movement, majorly through project-based learning. Therefore, JUIT executes all its programs as per the stated Vision and Mission.</w:t>
      </w:r>
    </w:p>
    <w:p w:rsidR="00000000" w:rsidDel="00000000" w:rsidP="00000000" w:rsidRDefault="00000000" w:rsidRPr="00000000" w14:paraId="00000003">
      <w:pPr>
        <w:spacing w:after="240" w:before="240" w:lineRule="auto"/>
        <w:rPr/>
      </w:pPr>
      <w:r w:rsidDel="00000000" w:rsidR="00000000" w:rsidRPr="00000000">
        <w:rPr>
          <w:b w:val="1"/>
          <w:rtl w:val="0"/>
        </w:rPr>
        <w:t xml:space="preserve">Vision: </w:t>
      </w:r>
      <w:r w:rsidDel="00000000" w:rsidR="00000000" w:rsidRPr="00000000">
        <w:rPr>
          <w:rtl w:val="0"/>
        </w:rPr>
        <w:t xml:space="preserve">To become a centre of excellence in the field of IT and related emerging areas in education, training and research comparable to the best in the world for producing professionals who shall be leaders in innovation, entrepreneurship, creativity and management.</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Mission:</w:t>
      </w:r>
    </w:p>
    <w:p w:rsidR="00000000" w:rsidDel="00000000" w:rsidP="00000000" w:rsidRDefault="00000000" w:rsidRPr="00000000" w14:paraId="00000005">
      <w:pPr>
        <w:spacing w:after="240" w:before="240" w:lineRule="auto"/>
        <w:rPr/>
      </w:pPr>
      <w:r w:rsidDel="00000000" w:rsidR="00000000" w:rsidRPr="00000000">
        <w:rPr>
          <w:rtl w:val="0"/>
        </w:rPr>
        <w:t xml:space="preserve">M1. To develop as a benchmark University in emerging technologies.</w:t>
      </w:r>
    </w:p>
    <w:p w:rsidR="00000000" w:rsidDel="00000000" w:rsidP="00000000" w:rsidRDefault="00000000" w:rsidRPr="00000000" w14:paraId="00000006">
      <w:pPr>
        <w:spacing w:after="240" w:before="240" w:lineRule="auto"/>
        <w:rPr/>
      </w:pPr>
      <w:r w:rsidDel="00000000" w:rsidR="00000000" w:rsidRPr="00000000">
        <w:rPr>
          <w:rtl w:val="0"/>
        </w:rPr>
        <w:t xml:space="preserve">M2. To provide a state-of-the-art teaching-learning process and a stimulating R&amp;D environment.</w:t>
      </w:r>
    </w:p>
    <w:p w:rsidR="00000000" w:rsidDel="00000000" w:rsidP="00000000" w:rsidRDefault="00000000" w:rsidRPr="00000000" w14:paraId="00000007">
      <w:pPr>
        <w:spacing w:after="240" w:before="240" w:lineRule="auto"/>
        <w:rPr/>
      </w:pPr>
      <w:r w:rsidDel="00000000" w:rsidR="00000000" w:rsidRPr="00000000">
        <w:rPr>
          <w:rtl w:val="0"/>
        </w:rPr>
        <w:t xml:space="preserve">M3. To harness human capital for sustainable competitive edge and social relevance.</w:t>
      </w:r>
    </w:p>
    <w:p w:rsidR="00000000" w:rsidDel="00000000" w:rsidP="00000000" w:rsidRDefault="00000000" w:rsidRPr="00000000" w14:paraId="00000008">
      <w:pPr>
        <w:spacing w:after="240" w:before="240" w:lineRule="auto"/>
        <w:rPr/>
      </w:pPr>
      <w:r w:rsidDel="00000000" w:rsidR="00000000" w:rsidRPr="00000000">
        <w:rPr>
          <w:rtl w:val="0"/>
        </w:rPr>
        <w:t xml:space="preserve">The following councils have regulatory functioning:</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The Governing Council, Executive Council and Academic Council are aligned to the UGCregulations as applicable from time to time. The Governing Council is the supreme and primedecision-making and governing body of the University.</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The Executive Council is responsible for the general management and administration of theUniversity.</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The Academic Council is the academic body of the University for regulating all kinds ofacademic issues.</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