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333333"/>
          <w:sz w:val="23"/>
          <w:szCs w:val="23"/>
          <w:highlight w:val="white"/>
        </w:rPr>
      </w:pPr>
      <w:r w:rsidDel="00000000" w:rsidR="00000000" w:rsidRPr="00000000">
        <w:rPr>
          <w:b w:val="1"/>
          <w:color w:val="333333"/>
          <w:sz w:val="23"/>
          <w:szCs w:val="23"/>
          <w:highlight w:val="white"/>
          <w:rtl w:val="0"/>
        </w:rPr>
        <w:t xml:space="preserve">6.2.2 - The functioning of the institutional bodies is effective and efficient as visible from policies, administrative setup, appointment and service rules, procedures, etc. </w:t>
      </w:r>
    </w:p>
    <w:p w:rsidR="00000000" w:rsidDel="00000000" w:rsidP="00000000" w:rsidRDefault="00000000" w:rsidRPr="00000000" w14:paraId="00000002">
      <w:pPr>
        <w:rPr>
          <w:b w:val="1"/>
          <w:color w:val="333333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The University Council brings faculty and administration representatives together to discuss issues involving the entire University. University functions are defined by various policies mentioned in the JUIT 1st Statute.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The other policy-related documents are well-placed and available to different stakeholders.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The regulations and ordinances related to academics are in place.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The administrative setup is well established in JUIT. University has Governing Council, Executive Council, Academic Council, Finance Committee, Council of Institution-Industry Linkages and others.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b w:val="1"/>
          <w:color w:val="333333"/>
          <w:sz w:val="23"/>
          <w:szCs w:val="23"/>
          <w:highlight w:val="white"/>
          <w:rtl w:val="0"/>
        </w:rPr>
        <w:t xml:space="preserve">Appointment: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The policies regarding various appointments in University are well defined in the JUIT Statute. The details are available on the University website.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br w:type="textWrapping"/>
        <w:t xml:space="preserve">The service rules and the related procedures are well-defined and shared with the employees of the University at the time of joining. The same is available as a Blue Book at the Registrar's office. JUIT has the following policies in place: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Code of Ethics for Research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Consultancy Policy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Divyangjan Policy &amp; Initiatives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e-Governance Policy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IT Policy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Library Policy (Manual)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Policy for Promotion of Research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Policy on Class Rooms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Policy on Guest Room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Policy on Laboratory Maintenance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Sports Policy</w:t>
      </w:r>
    </w:p>
    <w:p w:rsidR="00000000" w:rsidDel="00000000" w:rsidP="00000000" w:rsidRDefault="00000000" w:rsidRPr="00000000" w14:paraId="00000014">
      <w:pPr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