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333333"/>
          <w:sz w:val="23"/>
          <w:szCs w:val="23"/>
          <w:highlight w:val="white"/>
        </w:rPr>
      </w:pPr>
      <w:r w:rsidDel="00000000" w:rsidR="00000000" w:rsidRPr="00000000">
        <w:rPr>
          <w:b w:val="1"/>
          <w:color w:val="333333"/>
          <w:sz w:val="23"/>
          <w:szCs w:val="23"/>
          <w:highlight w:val="white"/>
          <w:rtl w:val="0"/>
        </w:rPr>
        <w:t xml:space="preserve">6.4.1 - Institutional strategies for mobilisation of funds and the optimal utilisation of resources </w:t>
      </w:r>
    </w:p>
    <w:p w:rsidR="00000000" w:rsidDel="00000000" w:rsidP="00000000" w:rsidRDefault="00000000" w:rsidRPr="00000000" w14:paraId="00000002">
      <w:pPr>
        <w:rPr>
          <w:b w:val="1"/>
          <w:color w:val="333333"/>
          <w:sz w:val="23"/>
          <w:szCs w:val="23"/>
          <w:highlight w:val="white"/>
        </w:rPr>
      </w:pPr>
      <w:r w:rsidDel="00000000" w:rsidR="00000000" w:rsidRPr="00000000">
        <w:rPr>
          <w:rtl w:val="0"/>
        </w:rPr>
      </w:r>
    </w:p>
    <w:p w:rsidR="00000000" w:rsidDel="00000000" w:rsidP="00000000" w:rsidRDefault="00000000" w:rsidRPr="00000000" w14:paraId="00000003">
      <w:pPr>
        <w:spacing w:after="240" w:before="240" w:lineRule="auto"/>
        <w:rPr>
          <w:color w:val="333333"/>
          <w:sz w:val="23"/>
          <w:szCs w:val="23"/>
          <w:highlight w:val="white"/>
        </w:rPr>
      </w:pPr>
      <w:r w:rsidDel="00000000" w:rsidR="00000000" w:rsidRPr="00000000">
        <w:rPr>
          <w:color w:val="333333"/>
          <w:sz w:val="23"/>
          <w:szCs w:val="23"/>
          <w:highlight w:val="white"/>
          <w:rtl w:val="0"/>
        </w:rPr>
        <w:t xml:space="preserve">The University has a well-strategized resource mobilization policy in place. The primary source of income for Jaypee University of Information Technology Waknaghat is fee collection from the students. Besides this, JUIT also aims to get funding from numerous sources such as alumni, research funding agencies, by organizing national and international conferences, workshops consultancy , philanthropy and Corporate social responsibility. These funds will be used to fund scholarships and develop infrastructure and facilities for academics and research. The University will also focus on getting funding from different agencies and companies CSR for infrastructural development, expanding campus facilities and building and improving the institute's research infrastructure.</w:t>
      </w:r>
    </w:p>
    <w:p w:rsidR="00000000" w:rsidDel="00000000" w:rsidP="00000000" w:rsidRDefault="00000000" w:rsidRPr="00000000" w14:paraId="00000004">
      <w:pPr>
        <w:spacing w:after="240" w:before="240" w:lineRule="auto"/>
        <w:rPr>
          <w:color w:val="333333"/>
          <w:sz w:val="23"/>
          <w:szCs w:val="23"/>
          <w:highlight w:val="white"/>
        </w:rPr>
      </w:pPr>
      <w:r w:rsidDel="00000000" w:rsidR="00000000" w:rsidRPr="00000000">
        <w:rPr>
          <w:color w:val="333333"/>
          <w:sz w:val="23"/>
          <w:szCs w:val="23"/>
          <w:highlight w:val="white"/>
          <w:rtl w:val="0"/>
        </w:rPr>
        <w:t xml:space="preserve">Funds generated from the above sources are utilized for the regular maintenance and development of the University. The University has well-planned strategies for enhancing funds mobilization:</w:t>
      </w:r>
    </w:p>
    <w:p w:rsidR="00000000" w:rsidDel="00000000" w:rsidP="00000000" w:rsidRDefault="00000000" w:rsidRPr="00000000" w14:paraId="00000005">
      <w:pPr>
        <w:numPr>
          <w:ilvl w:val="0"/>
          <w:numId w:val="1"/>
        </w:numPr>
        <w:spacing w:after="0" w:afterAutospacing="0" w:before="240" w:lineRule="auto"/>
        <w:ind w:left="720" w:hanging="360"/>
        <w:rPr>
          <w:color w:val="333333"/>
          <w:sz w:val="23"/>
          <w:szCs w:val="23"/>
          <w:highlight w:val="white"/>
        </w:rPr>
      </w:pPr>
      <w:r w:rsidDel="00000000" w:rsidR="00000000" w:rsidRPr="00000000">
        <w:rPr>
          <w:color w:val="333333"/>
          <w:sz w:val="23"/>
          <w:szCs w:val="23"/>
          <w:highlight w:val="white"/>
          <w:rtl w:val="0"/>
        </w:rPr>
        <w:t xml:space="preserve">Increasing student strength</w:t>
      </w:r>
    </w:p>
    <w:p w:rsidR="00000000" w:rsidDel="00000000" w:rsidP="00000000" w:rsidRDefault="00000000" w:rsidRPr="00000000" w14:paraId="00000006">
      <w:pPr>
        <w:numPr>
          <w:ilvl w:val="0"/>
          <w:numId w:val="1"/>
        </w:numPr>
        <w:spacing w:after="0" w:afterAutospacing="0" w:before="0" w:beforeAutospacing="0" w:lineRule="auto"/>
        <w:ind w:left="720" w:hanging="360"/>
        <w:rPr>
          <w:color w:val="333333"/>
          <w:sz w:val="23"/>
          <w:szCs w:val="23"/>
          <w:highlight w:val="white"/>
        </w:rPr>
      </w:pPr>
      <w:r w:rsidDel="00000000" w:rsidR="00000000" w:rsidRPr="00000000">
        <w:rPr>
          <w:color w:val="333333"/>
          <w:sz w:val="23"/>
          <w:szCs w:val="23"/>
          <w:highlight w:val="white"/>
          <w:rtl w:val="0"/>
        </w:rPr>
        <w:t xml:space="preserve">Receiving research grants</w:t>
      </w:r>
    </w:p>
    <w:p w:rsidR="00000000" w:rsidDel="00000000" w:rsidP="00000000" w:rsidRDefault="00000000" w:rsidRPr="00000000" w14:paraId="00000007">
      <w:pPr>
        <w:numPr>
          <w:ilvl w:val="0"/>
          <w:numId w:val="1"/>
        </w:numPr>
        <w:spacing w:after="0" w:afterAutospacing="0" w:before="0" w:beforeAutospacing="0" w:lineRule="auto"/>
        <w:ind w:left="720" w:hanging="360"/>
        <w:rPr>
          <w:color w:val="333333"/>
          <w:sz w:val="23"/>
          <w:szCs w:val="23"/>
          <w:highlight w:val="white"/>
        </w:rPr>
      </w:pPr>
      <w:r w:rsidDel="00000000" w:rsidR="00000000" w:rsidRPr="00000000">
        <w:rPr>
          <w:color w:val="333333"/>
          <w:sz w:val="23"/>
          <w:szCs w:val="23"/>
          <w:highlight w:val="white"/>
          <w:rtl w:val="0"/>
        </w:rPr>
        <w:t xml:space="preserve">Enhancing consultancy</w:t>
      </w:r>
    </w:p>
    <w:p w:rsidR="00000000" w:rsidDel="00000000" w:rsidP="00000000" w:rsidRDefault="00000000" w:rsidRPr="00000000" w14:paraId="00000008">
      <w:pPr>
        <w:numPr>
          <w:ilvl w:val="0"/>
          <w:numId w:val="1"/>
        </w:numPr>
        <w:spacing w:after="0" w:afterAutospacing="0" w:before="0" w:beforeAutospacing="0" w:lineRule="auto"/>
        <w:ind w:left="720" w:hanging="360"/>
        <w:rPr>
          <w:color w:val="333333"/>
          <w:sz w:val="23"/>
          <w:szCs w:val="23"/>
          <w:highlight w:val="white"/>
        </w:rPr>
      </w:pPr>
      <w:r w:rsidDel="00000000" w:rsidR="00000000" w:rsidRPr="00000000">
        <w:rPr>
          <w:color w:val="333333"/>
          <w:sz w:val="23"/>
          <w:szCs w:val="23"/>
          <w:highlight w:val="white"/>
          <w:rtl w:val="0"/>
        </w:rPr>
        <w:t xml:space="preserve">Expanding Collaboration</w:t>
      </w:r>
    </w:p>
    <w:p w:rsidR="00000000" w:rsidDel="00000000" w:rsidP="00000000" w:rsidRDefault="00000000" w:rsidRPr="00000000" w14:paraId="00000009">
      <w:pPr>
        <w:numPr>
          <w:ilvl w:val="0"/>
          <w:numId w:val="1"/>
        </w:numPr>
        <w:spacing w:after="240" w:before="0" w:beforeAutospacing="0" w:lineRule="auto"/>
        <w:ind w:left="720" w:hanging="360"/>
        <w:rPr>
          <w:color w:val="333333"/>
          <w:sz w:val="23"/>
          <w:szCs w:val="23"/>
          <w:highlight w:val="white"/>
        </w:rPr>
      </w:pPr>
      <w:r w:rsidDel="00000000" w:rsidR="00000000" w:rsidRPr="00000000">
        <w:rPr>
          <w:color w:val="333333"/>
          <w:sz w:val="23"/>
          <w:szCs w:val="23"/>
          <w:highlight w:val="white"/>
          <w:rtl w:val="0"/>
        </w:rPr>
        <w:t xml:space="preserve">Improving Alumni participation.</w:t>
      </w:r>
    </w:p>
    <w:p w:rsidR="00000000" w:rsidDel="00000000" w:rsidP="00000000" w:rsidRDefault="00000000" w:rsidRPr="00000000" w14:paraId="0000000A">
      <w:pPr>
        <w:spacing w:after="240" w:before="240" w:lineRule="auto"/>
        <w:rPr>
          <w:color w:val="333333"/>
          <w:sz w:val="23"/>
          <w:szCs w:val="23"/>
          <w:highlight w:val="white"/>
        </w:rPr>
      </w:pPr>
      <w:r w:rsidDel="00000000" w:rsidR="00000000" w:rsidRPr="00000000">
        <w:rPr>
          <w:color w:val="333333"/>
          <w:sz w:val="23"/>
          <w:szCs w:val="23"/>
          <w:highlight w:val="white"/>
          <w:rtl w:val="0"/>
        </w:rPr>
        <w:t xml:space="preserve">The University ensures optimal utilization of the financial resources through periodical monitoring, internal and external auditing, cross-checking with requirements of funds for each department, etc. A finance committee is in place to ensure the optimal utilization of the funds.</w:t>
      </w:r>
    </w:p>
    <w:p w:rsidR="00000000" w:rsidDel="00000000" w:rsidP="00000000" w:rsidRDefault="00000000" w:rsidRPr="00000000" w14:paraId="0000000B">
      <w:pPr>
        <w:rPr>
          <w:color w:val="333333"/>
          <w:sz w:val="23"/>
          <w:szCs w:val="23"/>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