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333333"/>
          <w:sz w:val="23"/>
          <w:szCs w:val="23"/>
          <w:highlight w:val="white"/>
        </w:rPr>
      </w:pPr>
      <w:r w:rsidDel="00000000" w:rsidR="00000000" w:rsidRPr="00000000">
        <w:rPr>
          <w:b w:val="1"/>
          <w:color w:val="333333"/>
          <w:sz w:val="23"/>
          <w:szCs w:val="23"/>
          <w:highlight w:val="white"/>
          <w:rtl w:val="0"/>
        </w:rPr>
        <w:t xml:space="preserve">6.5.1 - Internal Quality Assurance Cell (IQAC) has contributed significantly for institutionalizing the quality assurance strategies and processes by constantly reviewing the teaching learning process, structures &amp; methodologies of operations and learning outcomes at periodic intervals </w:t>
      </w:r>
    </w:p>
    <w:p w:rsidR="00000000" w:rsidDel="00000000" w:rsidP="00000000" w:rsidRDefault="00000000" w:rsidRPr="00000000" w14:paraId="00000002">
      <w:pPr>
        <w:rPr>
          <w:b w:val="1"/>
          <w:color w:val="333333"/>
          <w:sz w:val="23"/>
          <w:szCs w:val="23"/>
          <w:highlight w:val="white"/>
        </w:rPr>
      </w:pPr>
      <w:r w:rsidDel="00000000" w:rsidR="00000000" w:rsidRPr="00000000">
        <w:rPr>
          <w:rtl w:val="0"/>
        </w:rPr>
      </w:r>
    </w:p>
    <w:p w:rsidR="00000000" w:rsidDel="00000000" w:rsidP="00000000" w:rsidRDefault="00000000" w:rsidRPr="00000000" w14:paraId="00000003">
      <w:pPr>
        <w:spacing w:after="240" w:before="240" w:lineRule="auto"/>
        <w:rPr>
          <w:color w:val="333333"/>
          <w:sz w:val="23"/>
          <w:szCs w:val="23"/>
          <w:highlight w:val="white"/>
        </w:rPr>
      </w:pPr>
      <w:r w:rsidDel="00000000" w:rsidR="00000000" w:rsidRPr="00000000">
        <w:rPr>
          <w:color w:val="333333"/>
          <w:sz w:val="23"/>
          <w:szCs w:val="23"/>
          <w:highlight w:val="white"/>
          <w:rtl w:val="0"/>
        </w:rPr>
        <w:t xml:space="preserve">The IQAC was set up in 2016. It has taken numerous steps to enhance the quality of teaching, learning,research and governance at the University.</w:t>
      </w:r>
    </w:p>
    <w:p w:rsidR="00000000" w:rsidDel="00000000" w:rsidP="00000000" w:rsidRDefault="00000000" w:rsidRPr="00000000" w14:paraId="00000004">
      <w:pPr>
        <w:spacing w:after="240" w:before="240" w:lineRule="auto"/>
        <w:rPr>
          <w:color w:val="333333"/>
          <w:sz w:val="23"/>
          <w:szCs w:val="23"/>
          <w:highlight w:val="white"/>
        </w:rPr>
      </w:pPr>
      <w:r w:rsidDel="00000000" w:rsidR="00000000" w:rsidRPr="00000000">
        <w:rPr>
          <w:color w:val="333333"/>
          <w:sz w:val="23"/>
          <w:szCs w:val="23"/>
          <w:highlight w:val="white"/>
          <w:rtl w:val="0"/>
        </w:rPr>
        <w:t xml:space="preserve">The University has a Core Committee that reviews the collected data from all the departments and compiles the AQAR report, and seven Sub-Committees that have been given specialized roles related to curriculum aspects, teaching-learning &amp;evaluation, Research Innovation and extension, Infrastructure and Learning resources, student support and progression, Governance leadership and Management and Institutional Values and Best practices.</w:t>
      </w:r>
    </w:p>
    <w:p w:rsidR="00000000" w:rsidDel="00000000" w:rsidP="00000000" w:rsidRDefault="00000000" w:rsidRPr="00000000" w14:paraId="00000005">
      <w:pPr>
        <w:spacing w:after="240" w:before="240" w:lineRule="auto"/>
        <w:rPr>
          <w:color w:val="333333"/>
          <w:sz w:val="23"/>
          <w:szCs w:val="23"/>
          <w:highlight w:val="white"/>
        </w:rPr>
      </w:pPr>
      <w:r w:rsidDel="00000000" w:rsidR="00000000" w:rsidRPr="00000000">
        <w:rPr>
          <w:color w:val="333333"/>
          <w:sz w:val="23"/>
          <w:szCs w:val="23"/>
          <w:highlight w:val="white"/>
          <w:rtl w:val="0"/>
        </w:rPr>
        <w:t xml:space="preserve">The main activities undertaken are as follows:</w:t>
      </w:r>
    </w:p>
    <w:p w:rsidR="00000000" w:rsidDel="00000000" w:rsidP="00000000" w:rsidRDefault="00000000" w:rsidRPr="00000000" w14:paraId="00000006">
      <w:pPr>
        <w:numPr>
          <w:ilvl w:val="0"/>
          <w:numId w:val="1"/>
        </w:numPr>
        <w:spacing w:after="0" w:afterAutospacing="0" w:before="240" w:lineRule="auto"/>
        <w:ind w:left="720" w:hanging="360"/>
        <w:rPr>
          <w:color w:val="333333"/>
          <w:sz w:val="23"/>
          <w:szCs w:val="23"/>
          <w:highlight w:val="white"/>
        </w:rPr>
      </w:pPr>
      <w:r w:rsidDel="00000000" w:rsidR="00000000" w:rsidRPr="00000000">
        <w:rPr>
          <w:color w:val="333333"/>
          <w:sz w:val="23"/>
          <w:szCs w:val="23"/>
          <w:highlight w:val="white"/>
          <w:rtl w:val="0"/>
        </w:rPr>
        <w:t xml:space="preserve">Two weeks Induction program is conducted for the new entrants. It involves introduction to the academic program, examination system, biometric registration, NAD registration, academic &amp; disciplinary matters, medical facilities and an introduction to Jaypee Youth Club and its multifarious activities. It also includes campus tour,Screening of anti-ragging UGC films, and talks by eminent experts on motivation, training and placement, social entrepreneurship etc.</w:t>
      </w:r>
    </w:p>
    <w:p w:rsidR="00000000" w:rsidDel="00000000" w:rsidP="00000000" w:rsidRDefault="00000000" w:rsidRPr="00000000" w14:paraId="00000007">
      <w:pPr>
        <w:numPr>
          <w:ilvl w:val="0"/>
          <w:numId w:val="1"/>
        </w:numPr>
        <w:spacing w:after="240" w:before="0" w:beforeAutospacing="0" w:lineRule="auto"/>
        <w:ind w:left="720" w:hanging="360"/>
        <w:rPr>
          <w:color w:val="333333"/>
          <w:sz w:val="23"/>
          <w:szCs w:val="23"/>
          <w:highlight w:val="white"/>
        </w:rPr>
      </w:pPr>
      <w:r w:rsidDel="00000000" w:rsidR="00000000" w:rsidRPr="00000000">
        <w:rPr>
          <w:color w:val="333333"/>
          <w:sz w:val="23"/>
          <w:szCs w:val="23"/>
          <w:highlight w:val="white"/>
          <w:rtl w:val="0"/>
        </w:rPr>
        <w:t xml:space="preserve">The departments have designed the outcome-based course curriculum with well-defined course objectives and course outcomes followed by the contribution of Course Outcomes (COs) to the Program Outcomes (POs). The departments conduct board of studies meetings at regular intervals to review the courses.</w:t>
      </w:r>
    </w:p>
    <w:p w:rsidR="00000000" w:rsidDel="00000000" w:rsidP="00000000" w:rsidRDefault="00000000" w:rsidRPr="00000000" w14:paraId="00000008">
      <w:pPr>
        <w:rPr>
          <w:color w:val="333333"/>
          <w:sz w:val="23"/>
          <w:szCs w:val="23"/>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